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before="100"/>
      </w:pPr>
      <w:r>
        <w:rPr>
          <w:rFonts w:ascii="Calibri" w:cs="Calibri" w:eastAsia="Calibri" w:hAnsi="Calibri"/>
          <w:b/>
          <w:bCs/>
          <w:color w:val="2E74B5"/>
          <w:sz w:val="22"/>
          <w:szCs w:val="22"/>
        </w:rPr>
        <w:t xml:space="preserve">BUSINESS RESILIENCE PULSE CHECK</w:t>
      </w:r>
    </w:p>
    <w:p>
      <w:pPr>
        <w:spacing w:after="200"/>
      </w:pPr>
      <w:r>
        <w:rPr>
          <w:rFonts w:ascii="Calibri" w:cs="Calibri" w:eastAsia="Calibri" w:hAnsi="Calibri"/>
          <w:b/>
          <w:bCs/>
          <w:color w:val="595959"/>
          <w:sz w:val="20"/>
          <w:szCs w:val="20"/>
        </w:rPr>
        <w:t xml:space="preserve">SCENARIO PACKAGE GS-5</w:t>
      </w:r>
    </w:p>
    <w:p>
      <w:pPr>
        <w:spacing w:after="120"/>
      </w:pPr>
      <w:r>
        <w:rPr>
          <w:rFonts w:ascii="Calibri" w:cs="Calibri" w:eastAsia="Calibri" w:hAnsi="Calibri"/>
          <w:b/>
          <w:bCs/>
          <w:color w:val="1F3864"/>
          <w:sz w:val="52"/>
          <w:szCs w:val="52"/>
        </w:rPr>
        <w:t xml:space="preserve">Natural Disaster</w:t>
      </w:r>
    </w:p>
    <w:p>
      <w:pPr>
        <w:spacing w:after="100"/>
      </w:pPr>
      <w:r>
        <w:rPr>
          <w:rFonts w:ascii="Calibri" w:cs="Calibri" w:eastAsia="Calibri" w:hAnsi="Calibri"/>
          <w:color w:val="595959"/>
          <w:sz w:val="24"/>
          <w:szCs w:val="24"/>
        </w:rPr>
        <w:t xml:space="preserve">Facility Loss and Operational Continuity — Business Response Focus</w:t>
      </w:r>
    </w:p>
    <w:p>
      <w:pPr>
        <w:pBdr>
          <w:bottom w:val="single" w:color="2E74B5" w:sz="8" w:space="6"/>
        </w:pBdr>
        <w:spacing w:after="80"/>
      </w:pPr>
      <w:r>
        <w:rPr>
          <w:rFonts w:ascii="Calibri" w:cs="Calibri" w:eastAsia="Calibri" w:hAnsi="Calibri"/>
          <w:color w:val="595959"/>
          <w:sz w:val="20"/>
          <w:szCs w:val="20"/>
        </w:rPr>
        <w:t xml:space="preserve">Industry: General / Industry-Agnostic  |  Duration: 2–3 Hours  |  Version 1.0  |  July 2026</w:t>
      </w:r>
    </w:p>
    <w:p>
      <w:pPr>
        <w:spacing w:after="160"/>
      </w:pPr>
    </w:p>
    <w:p>
      <w:pPr>
        <w:pStyle w:val="Heading1"/>
        <w:keepNext/>
        <w:spacing w:after="140" w:before="320"/>
      </w:pPr>
      <w:r>
        <w:rPr>
          <w:rFonts w:ascii="Calibri" w:cs="Calibri" w:eastAsia="Calibri" w:hAnsi="Calibri"/>
          <w:b/>
          <w:bCs/>
          <w:color w:val="1F3864"/>
          <w:sz w:val="30"/>
          <w:szCs w:val="30"/>
        </w:rPr>
        <w:t xml:space="preserve">Scenario Overview</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3100"/>
        <w:gridCol w:w="6260"/>
      </w:tblGrid>
      <w:tr>
        <w:trPr>
          <w:tblHeader/>
        </w:trPr>
        <w:tc>
          <w:tcPr>
            <w:tcW w:type="dxa" w:w="31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Field</w:t>
            </w:r>
          </w:p>
        </w:tc>
        <w:tc>
          <w:tcPr>
            <w:tcW w:type="dxa" w:w="62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Detail</w:t>
            </w:r>
          </w:p>
        </w:tc>
      </w:tr>
      <w:tr>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Threat category</w:t>
            </w:r>
          </w:p>
        </w:tc>
        <w:tc>
          <w:tcPr>
            <w:tcW w:type="dxa" w:w="62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Natural Disaster / Facility Loss</w:t>
            </w:r>
          </w:p>
        </w:tc>
      </w:tr>
      <w:tr>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Business response focus</w:t>
            </w:r>
          </w:p>
        </w:tc>
        <w:tc>
          <w:tcPr>
            <w:tcW w:type="dxa" w:w="62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Tests BC/DR plan activation, remote operations, asset recovery, employee safety, and insurance claims. Decision-making, communication, and coordination, not technical recovery.</w:t>
            </w:r>
          </w:p>
        </w:tc>
      </w:tr>
      <w:tr>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Duration</w:t>
            </w:r>
          </w:p>
        </w:tc>
        <w:tc>
          <w:tcPr>
            <w:tcW w:type="dxa" w:w="62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2–3 hours (3 modules + hot wash)</w:t>
            </w:r>
          </w:p>
        </w:tc>
      </w:tr>
      <w:tr>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Recommended participants</w:t>
            </w:r>
          </w:p>
        </w:tc>
        <w:tc>
          <w:tcPr>
            <w:tcW w:type="dxa" w:w="62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CEO/COO, CFO, HR, Operations, IT, Facilities, Safety Coordinator</w:t>
            </w:r>
          </w:p>
        </w:tc>
      </w:tr>
      <w:tr>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Key decisions tested</w:t>
            </w:r>
          </w:p>
        </w:tc>
        <w:tc>
          <w:tcPr>
            <w:tcW w:type="dxa" w:w="62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Employee safety, facility assessment, remote work activation, client communication, insurance activation</w:t>
            </w:r>
          </w:p>
        </w:tc>
      </w:tr>
    </w:tbl>
    <w:p>
      <w:pPr>
        <w:spacing w:after="120" w:before="120" w:line="276"/>
      </w:pPr>
      <w:r>
        <w:rPr>
          <w:rFonts w:ascii="Calibri" w:cs="Calibri" w:eastAsia="Calibri" w:hAnsi="Calibri"/>
          <w:color w:val="404040"/>
          <w:sz w:val="21"/>
          <w:szCs w:val="21"/>
        </w:rPr>
        <w:t xml:space="preserve">This scenario package is complete and self-contained. It includes the scenario narrative, MSEL, discussion questions, simulated artifacts, facilitator notes, and customization checklist. All content should be customized for the specific client using the customization checklist before delivery.</w:t>
      </w:r>
    </w:p>
    <w:p>
      <w:pPr>
        <w:pStyle w:val="Heading1"/>
        <w:keepNext/>
        <w:spacing w:after="140" w:before="320"/>
      </w:pPr>
      <w:r>
        <w:rPr>
          <w:rFonts w:ascii="Calibri" w:cs="Calibri" w:eastAsia="Calibri" w:hAnsi="Calibri"/>
          <w:b/>
          <w:bCs/>
          <w:color w:val="1F3864"/>
          <w:sz w:val="30"/>
          <w:szCs w:val="30"/>
        </w:rPr>
        <w:t xml:space="preserve">Scenario Narrative</w:t>
      </w:r>
    </w:p>
    <w:p>
      <w:pPr>
        <w:pStyle w:val="Heading2"/>
        <w:keepNext/>
        <w:spacing w:after="110" w:before="240"/>
      </w:pPr>
      <w:r>
        <w:rPr>
          <w:rFonts w:ascii="Calibri" w:cs="Calibri" w:eastAsia="Calibri" w:hAnsi="Calibri"/>
          <w:b/>
          <w:bCs/>
          <w:color w:val="2E74B5"/>
          <w:sz w:val="25"/>
          <w:szCs w:val="25"/>
        </w:rPr>
        <w:t xml:space="preserve">Background</w:t>
      </w:r>
    </w:p>
    <w:p>
      <w:pPr>
        <w:spacing w:after="120" w:before="0" w:line="276"/>
      </w:pPr>
      <w:r>
        <w:rPr>
          <w:rFonts w:ascii="Calibri" w:cs="Calibri" w:eastAsia="Calibri" w:hAnsi="Calibri"/>
          <w:color w:val="404040"/>
          <w:sz w:val="21"/>
          <w:szCs w:val="21"/>
        </w:rPr>
        <w:t xml:space="preserve">[ORGANIZATION NAME] operates primarily from [CUSTOMIZE: a single location / 2–3 locations] in [CUSTOMIZE: region]. The facility houses [CUSTOMIZE: number] employees and contains [CUSTOMIZE: key physical assets — servers, inventory, specialized equipment, paper records]. The organization [CUSTOMIZE: has / does not have] a documented business continuity plan. Remote work capability exists for [CUSTOMIZE: percentage] of the workforce.</w:t>
      </w:r>
    </w:p>
    <w:p>
      <w:pPr>
        <w:spacing w:after="120" w:before="0" w:line="276"/>
      </w:pPr>
      <w:r>
        <w:rPr>
          <w:rFonts w:ascii="Calibri" w:cs="Calibri" w:eastAsia="Calibri" w:hAnsi="Calibri"/>
          <w:color w:val="404040"/>
          <w:sz w:val="21"/>
          <w:szCs w:val="21"/>
        </w:rPr>
        <w:t xml:space="preserve">It is Sunday evening at approximately 9:30 PM. A [CUSTOMIZE: severe storm / fire / flood / earthquake] strikes the area. You receive a call from [CUSTOMIZE: building security / local emergency services / a neighbor] informing you that your primary facility has sustained significant damage.</w:t>
      </w:r>
    </w:p>
    <w:p>
      <w:pPr>
        <w:pStyle w:val="Heading2"/>
        <w:keepNext/>
        <w:spacing w:after="110" w:before="240"/>
      </w:pPr>
      <w:r>
        <w:rPr>
          <w:rFonts w:ascii="Calibri" w:cs="Calibri" w:eastAsia="Calibri" w:hAnsi="Calibri"/>
          <w:b/>
          <w:bCs/>
          <w:color w:val="2E74B5"/>
          <w:sz w:val="25"/>
          <w:szCs w:val="25"/>
        </w:rPr>
        <w:t xml:space="preserve">Module 1: Immediate Response and Employee Safety (25–30 minutes)</w:t>
      </w:r>
    </w:p>
    <w:p>
      <w:pPr>
        <w:spacing w:after="120" w:before="0" w:line="276"/>
      </w:pPr>
      <w:r>
        <w:rPr>
          <w:rFonts w:ascii="Calibri" w:cs="Calibri" w:eastAsia="Calibri" w:hAnsi="Calibri"/>
          <w:color w:val="404040"/>
          <w:sz w:val="21"/>
          <w:szCs w:val="21"/>
        </w:rPr>
        <w:t xml:space="preserve">The exercise opens on a Sunday night with a damaged facility, incomplete information, and roughly ten hours before employees start driving to a building they may not be able to enter.</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Discussion questions:</w:t>
      </w:r>
      <w:r>
        <w:rPr>
          <w:rFonts w:ascii="Calibri" w:cs="Calibri" w:eastAsia="Calibri" w:hAnsi="Calibri"/>
          <w:color w:val="404040"/>
          <w:sz w:val="21"/>
          <w:szCs w:val="21"/>
        </w:rPr>
        <w:t xml:space="preserve"/>
      </w:r>
    </w:p>
    <w:p>
      <w:pPr>
        <w:pStyle w:val="ListParagraph"/>
        <w:numPr>
          <w:ilvl w:val="0"/>
          <w:numId w:val="2"/>
        </w:numPr>
        <w:spacing w:after="80" w:line="276"/>
      </w:pPr>
      <w:r>
        <w:rPr>
          <w:rFonts w:ascii="Calibri" w:cs="Calibri" w:eastAsia="Calibri" w:hAnsi="Calibri"/>
          <w:color w:val="404040"/>
          <w:sz w:val="21"/>
          <w:szCs w:val="21"/>
        </w:rPr>
        <w:t xml:space="preserve">How do you account for all employees and confirm no one was in or near the building? Is there a process for this?</w:t>
      </w:r>
    </w:p>
    <w:p>
      <w:pPr>
        <w:pStyle w:val="ListParagraph"/>
        <w:numPr>
          <w:ilvl w:val="0"/>
          <w:numId w:val="2"/>
        </w:numPr>
        <w:spacing w:after="80" w:line="276"/>
      </w:pPr>
      <w:r>
        <w:rPr>
          <w:rFonts w:ascii="Calibri" w:cs="Calibri" w:eastAsia="Calibri" w:hAnsi="Calibri"/>
          <w:color w:val="404040"/>
          <w:sz w:val="21"/>
          <w:szCs w:val="21"/>
        </w:rPr>
        <w:t xml:space="preserve">How do you notify employees not to come to work? How quickly can you reach everyone?</w:t>
      </w:r>
    </w:p>
    <w:p>
      <w:pPr>
        <w:pStyle w:val="ListParagraph"/>
        <w:numPr>
          <w:ilvl w:val="0"/>
          <w:numId w:val="2"/>
        </w:numPr>
        <w:spacing w:after="80" w:line="276"/>
      </w:pPr>
      <w:r>
        <w:rPr>
          <w:rFonts w:ascii="Calibri" w:cs="Calibri" w:eastAsia="Calibri" w:hAnsi="Calibri"/>
          <w:color w:val="404040"/>
          <w:sz w:val="21"/>
          <w:szCs w:val="21"/>
        </w:rPr>
        <w:t xml:space="preserve">Who has authority to make the decision: work from home vs. alternate location vs. day off?</w:t>
      </w:r>
    </w:p>
    <w:p>
      <w:pPr>
        <w:pStyle w:val="ListParagraph"/>
        <w:numPr>
          <w:ilvl w:val="0"/>
          <w:numId w:val="2"/>
        </w:numPr>
        <w:spacing w:after="80" w:line="276"/>
      </w:pPr>
      <w:r>
        <w:rPr>
          <w:rFonts w:ascii="Calibri" w:cs="Calibri" w:eastAsia="Calibri" w:hAnsi="Calibri"/>
          <w:color w:val="404040"/>
          <w:sz w:val="21"/>
          <w:szCs w:val="21"/>
        </w:rPr>
        <w:t xml:space="preserve">What on-premises assets are you most concerned about? Physical assets? Data? Equipment? Records?</w:t>
      </w:r>
    </w:p>
    <w:p>
      <w:pPr>
        <w:pStyle w:val="ListParagraph"/>
        <w:numPr>
          <w:ilvl w:val="0"/>
          <w:numId w:val="2"/>
        </w:numPr>
        <w:spacing w:after="80" w:line="276"/>
      </w:pPr>
      <w:r>
        <w:rPr>
          <w:rFonts w:ascii="Calibri" w:cs="Calibri" w:eastAsia="Calibri" w:hAnsi="Calibri"/>
          <w:color w:val="404040"/>
          <w:sz w:val="21"/>
          <w:szCs w:val="21"/>
        </w:rPr>
        <w:t xml:space="preserve">Do you have a business continuity plan for this situation? Can you locate it right now?</w:t>
      </w:r>
    </w:p>
    <w:p>
      <w:pPr>
        <w:pStyle w:val="Heading2"/>
        <w:keepNext/>
        <w:spacing w:after="110" w:before="240"/>
      </w:pPr>
      <w:r>
        <w:rPr>
          <w:rFonts w:ascii="Calibri" w:cs="Calibri" w:eastAsia="Calibri" w:hAnsi="Calibri"/>
          <w:b/>
          <w:bCs/>
          <w:color w:val="2E74B5"/>
          <w:sz w:val="25"/>
          <w:szCs w:val="25"/>
        </w:rPr>
        <w:t xml:space="preserve">Module 2: Operational Continuity (25–30 minutes)</w:t>
      </w:r>
    </w:p>
    <w:p>
      <w:pPr>
        <w:spacing w:after="120" w:before="0" w:line="276"/>
      </w:pPr>
      <w:r>
        <w:rPr>
          <w:rFonts w:ascii="Calibri" w:cs="Calibri" w:eastAsia="Calibri" w:hAnsi="Calibri"/>
          <w:color w:val="404040"/>
          <w:sz w:val="21"/>
          <w:szCs w:val="21"/>
        </w:rPr>
        <w:t xml:space="preserve">The facility is out of reach for days — possibly weeks. Participants must keep the organization operating from wherever it can, while clients, the landlord, and the insurer all want answers.</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Discussion questions:</w:t>
      </w:r>
      <w:r>
        <w:rPr>
          <w:rFonts w:ascii="Calibri" w:cs="Calibri" w:eastAsia="Calibri" w:hAnsi="Calibri"/>
          <w:color w:val="404040"/>
          <w:sz w:val="21"/>
          <w:szCs w:val="21"/>
        </w:rPr>
        <w:t xml:space="preserve"/>
      </w:r>
    </w:p>
    <w:p>
      <w:pPr>
        <w:pStyle w:val="ListParagraph"/>
        <w:numPr>
          <w:ilvl w:val="0"/>
          <w:numId w:val="2"/>
        </w:numPr>
        <w:spacing w:after="80" w:line="276"/>
      </w:pPr>
      <w:r>
        <w:rPr>
          <w:rFonts w:ascii="Calibri" w:cs="Calibri" w:eastAsia="Calibri" w:hAnsi="Calibri"/>
          <w:color w:val="404040"/>
          <w:sz w:val="21"/>
          <w:szCs w:val="21"/>
        </w:rPr>
        <w:t xml:space="preserve">What operations can continue remotely and what cannot? What do you do about the functions that can't go remote?</w:t>
      </w:r>
    </w:p>
    <w:p>
      <w:pPr>
        <w:pStyle w:val="ListParagraph"/>
        <w:numPr>
          <w:ilvl w:val="0"/>
          <w:numId w:val="2"/>
        </w:numPr>
        <w:spacing w:after="80" w:line="276"/>
      </w:pPr>
      <w:r>
        <w:rPr>
          <w:rFonts w:ascii="Calibri" w:cs="Calibri" w:eastAsia="Calibri" w:hAnsi="Calibri"/>
          <w:color w:val="404040"/>
          <w:sz w:val="21"/>
          <w:szCs w:val="21"/>
        </w:rPr>
        <w:t xml:space="preserve">If the building is inaccessible for 2 weeks, what is your plan? What about 4 weeks? What about permanently?</w:t>
      </w:r>
    </w:p>
    <w:p>
      <w:pPr>
        <w:pStyle w:val="ListParagraph"/>
        <w:numPr>
          <w:ilvl w:val="0"/>
          <w:numId w:val="2"/>
        </w:numPr>
        <w:spacing w:after="80" w:line="276"/>
      </w:pPr>
      <w:r>
        <w:rPr>
          <w:rFonts w:ascii="Calibri" w:cs="Calibri" w:eastAsia="Calibri" w:hAnsi="Calibri"/>
          <w:color w:val="404040"/>
          <w:sz w:val="21"/>
          <w:szCs w:val="21"/>
        </w:rPr>
        <w:t xml:space="preserve">What do you tell your clients? Do you disclose the full situation or provide a general “we're experiencing disruptions” message?</w:t>
      </w:r>
    </w:p>
    <w:p>
      <w:pPr>
        <w:pStyle w:val="ListParagraph"/>
        <w:numPr>
          <w:ilvl w:val="0"/>
          <w:numId w:val="2"/>
        </w:numPr>
        <w:spacing w:after="80" w:line="276"/>
      </w:pPr>
      <w:r>
        <w:rPr>
          <w:rFonts w:ascii="Calibri" w:cs="Calibri" w:eastAsia="Calibri" w:hAnsi="Calibri"/>
          <w:color w:val="404040"/>
          <w:sz w:val="21"/>
          <w:szCs w:val="21"/>
        </w:rPr>
        <w:t xml:space="preserve">Who manages the insurance claim? Do they know the process? Do they know the policy terms?</w:t>
      </w:r>
    </w:p>
    <w:p>
      <w:pPr>
        <w:pStyle w:val="ListParagraph"/>
        <w:numPr>
          <w:ilvl w:val="0"/>
          <w:numId w:val="2"/>
        </w:numPr>
        <w:spacing w:after="80" w:line="276"/>
      </w:pPr>
      <w:r>
        <w:rPr>
          <w:rFonts w:ascii="Calibri" w:cs="Calibri" w:eastAsia="Calibri" w:hAnsi="Calibri"/>
          <w:color w:val="404040"/>
          <w:sz w:val="21"/>
          <w:szCs w:val="21"/>
        </w:rPr>
        <w:t xml:space="preserve">Where do employees get updates each day, and who owns keeping that channel current?</w:t>
      </w:r>
    </w:p>
    <w:p>
      <w:pPr>
        <w:pStyle w:val="Heading2"/>
        <w:keepNext/>
        <w:spacing w:after="110" w:before="240"/>
      </w:pPr>
      <w:r>
        <w:rPr>
          <w:rFonts w:ascii="Calibri" w:cs="Calibri" w:eastAsia="Calibri" w:hAnsi="Calibri"/>
          <w:b/>
          <w:bCs/>
          <w:color w:val="2E74B5"/>
          <w:sz w:val="25"/>
          <w:szCs w:val="25"/>
        </w:rPr>
        <w:t xml:space="preserve">Module 3: Recovery and Resilience (20–25 minutes)</w:t>
      </w:r>
    </w:p>
    <w:p>
      <w:pPr>
        <w:spacing w:after="120" w:before="0" w:line="276"/>
      </w:pPr>
      <w:r>
        <w:rPr>
          <w:rFonts w:ascii="Calibri" w:cs="Calibri" w:eastAsia="Calibri" w:hAnsi="Calibri"/>
          <w:color w:val="404040"/>
          <w:sz w:val="21"/>
          <w:szCs w:val="21"/>
        </w:rPr>
        <w:t xml:space="preserve">The inspection results are in and the timeline is real. Participants must plan the recovery and decide what resilience is worth before the next event.</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Discussion questions:</w:t>
      </w:r>
      <w:r>
        <w:rPr>
          <w:rFonts w:ascii="Calibri" w:cs="Calibri" w:eastAsia="Calibri" w:hAnsi="Calibri"/>
          <w:color w:val="404040"/>
          <w:sz w:val="21"/>
          <w:szCs w:val="21"/>
        </w:rPr>
        <w:t xml:space="preserve"/>
      </w:r>
    </w:p>
    <w:p>
      <w:pPr>
        <w:pStyle w:val="ListParagraph"/>
        <w:numPr>
          <w:ilvl w:val="0"/>
          <w:numId w:val="2"/>
        </w:numPr>
        <w:spacing w:after="80" w:line="276"/>
      </w:pPr>
      <w:r>
        <w:rPr>
          <w:rFonts w:ascii="Calibri" w:cs="Calibri" w:eastAsia="Calibri" w:hAnsi="Calibri"/>
          <w:color w:val="404040"/>
          <w:sz w:val="21"/>
          <w:szCs w:val="21"/>
        </w:rPr>
        <w:t xml:space="preserve">What has surprised you most about operating without your primary facility?</w:t>
      </w:r>
    </w:p>
    <w:p>
      <w:pPr>
        <w:pStyle w:val="ListParagraph"/>
        <w:numPr>
          <w:ilvl w:val="0"/>
          <w:numId w:val="2"/>
        </w:numPr>
        <w:spacing w:after="80" w:line="276"/>
      </w:pPr>
      <w:r>
        <w:rPr>
          <w:rFonts w:ascii="Calibri" w:cs="Calibri" w:eastAsia="Calibri" w:hAnsi="Calibri"/>
          <w:color w:val="404040"/>
          <w:sz w:val="21"/>
          <w:szCs w:val="21"/>
        </w:rPr>
        <w:t xml:space="preserve">What investments in resilience would you recommend? Cloud migration? Remote access infrastructure? Alternate site? Cross-training?</w:t>
      </w:r>
    </w:p>
    <w:p>
      <w:pPr>
        <w:pStyle w:val="ListParagraph"/>
        <w:numPr>
          <w:ilvl w:val="0"/>
          <w:numId w:val="2"/>
        </w:numPr>
        <w:spacing w:after="80" w:line="276"/>
      </w:pPr>
      <w:r>
        <w:rPr>
          <w:rFonts w:ascii="Calibri" w:cs="Calibri" w:eastAsia="Calibri" w:hAnsi="Calibri"/>
          <w:color w:val="404040"/>
          <w:sz w:val="21"/>
          <w:szCs w:val="21"/>
        </w:rPr>
        <w:t xml:space="preserve">How do you prioritize resilience spending against other business needs? What is the ROI of preparedness?</w:t>
      </w:r>
    </w:p>
    <w:p>
      <w:pPr>
        <w:pStyle w:val="ListParagraph"/>
        <w:numPr>
          <w:ilvl w:val="0"/>
          <w:numId w:val="2"/>
        </w:numPr>
        <w:spacing w:after="80" w:line="276"/>
      </w:pPr>
      <w:r>
        <w:rPr>
          <w:rFonts w:ascii="Calibri" w:cs="Calibri" w:eastAsia="Calibri" w:hAnsi="Calibri"/>
          <w:color w:val="404040"/>
          <w:sz w:val="21"/>
          <w:szCs w:val="21"/>
        </w:rPr>
        <w:t xml:space="preserve">What documentation or planning could you create in the next 30 days that would have made the last 2 weeks dramatically easier?</w:t>
      </w:r>
    </w:p>
    <w:p>
      <w:pPr>
        <w:pStyle w:val="ListParagraph"/>
        <w:numPr>
          <w:ilvl w:val="0"/>
          <w:numId w:val="2"/>
        </w:numPr>
        <w:spacing w:after="80" w:line="276"/>
      </w:pPr>
      <w:r>
        <w:rPr>
          <w:rFonts w:ascii="Calibri" w:cs="Calibri" w:eastAsia="Calibri" w:hAnsi="Calibri"/>
          <w:color w:val="404040"/>
          <w:sz w:val="21"/>
          <w:szCs w:val="21"/>
        </w:rPr>
        <w:t xml:space="preserve">If the building had been a total loss, what — honestly — would have happened to the business?</w:t>
      </w:r>
    </w:p>
    <w:p>
      <w:r>
        <w:br w:type="page"/>
      </w:r>
    </w:p>
    <w:p>
      <w:pPr>
        <w:pStyle w:val="Heading1"/>
        <w:keepNext/>
        <w:spacing w:after="140" w:before="320"/>
      </w:pPr>
      <w:r>
        <w:rPr>
          <w:rFonts w:ascii="Calibri" w:cs="Calibri" w:eastAsia="Calibri" w:hAnsi="Calibri"/>
          <w:b/>
          <w:bCs/>
          <w:color w:val="1F3864"/>
          <w:sz w:val="30"/>
          <w:szCs w:val="30"/>
        </w:rPr>
        <w:t xml:space="preserve">Master Scenario Events List (MSEL)</w:t>
      </w:r>
    </w:p>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1: Initial Report</w:t>
      </w:r>
      <w:r>
        <w:rPr>
          <w:rFonts w:ascii="Calibri" w:cs="Calibri" w:eastAsia="Calibri" w:hAnsi="Calibri"/>
          <w:color w:val="404040"/>
          <w:sz w:val="21"/>
          <w:szCs w:val="21"/>
        </w:rPr>
        <w:t xml:space="preserve"/>
      </w:r>
    </w:p>
    <w:p>
      <w:pPr>
        <w:keepNext/>
        <w:spacing w:after="120" w:before="0" w:line="276"/>
      </w:pPr>
      <w:r>
        <w:rPr>
          <w:rFonts w:ascii="Calibri" w:cs="Calibri" w:eastAsia="Calibri" w:hAnsi="Calibri"/>
          <w:color w:val="404040"/>
          <w:sz w:val="21"/>
          <w:szCs w:val="21"/>
        </w:rPr>
        <w:t xml:space="preserve">The damage report is preliminary: [CUSTOMIZE: water damage to the first floor affecting server room and storage areas / structural damage to the south wing requiring building inspection before re-entry / fire damage to the warehouse area with smoke damage throughout the office / earthquake damage with unknown structural integrity]. The facility is currently [CUSTOMIZE: inaccessible / accessible only to emergency services / partially accessible]. No employees were in the building at the time. The first hard information arrived as an emergency alert received by several employees:</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9360"/>
      </w:tblGrid>
      <w:tr>
        <w:tc>
          <w:tcPr>
            <w:tcW w:type="dxa" w:w="9360"/>
            <w:shd w:fill="595959" w:val="clear"/>
            <w:tcMar>
              <w:top w:type="dxa" w:w="80"/>
              <w:left w:type="dxa" w:w="160"/>
              <w:bottom w:type="dxa" w:w="80"/>
              <w:right w:type="dxa" w:w="160"/>
            </w:tcMar>
          </w:tcPr>
          <w:p>
            <w:pPr>
              <w:spacing w:after="0"/>
            </w:pPr>
            <w:r>
              <w:rPr>
                <w:rFonts w:ascii="Calibri" w:cs="Calibri" w:eastAsia="Calibri" w:hAnsi="Calibri"/>
                <w:b/>
                <w:bCs/>
                <w:color w:val="FFFFFF"/>
                <w:sz w:val="20"/>
                <w:szCs w:val="20"/>
              </w:rPr>
              <w:t xml:space="preserve">SIMULATED ARTIFACT — Emergency Alert Bulletin (Received 9:12 PM Sunday)</w:t>
            </w:r>
          </w:p>
        </w:tc>
      </w:tr>
      <w:tr>
        <w:tc>
          <w:tcPr>
            <w:tcW w:type="dxa" w:w="9360"/>
            <w:shd w:fill="FAFAFA" w:val="clear"/>
            <w:tcMar>
              <w:top w:type="dxa" w:w="120"/>
              <w:left w:type="dxa" w:w="200"/>
              <w:bottom w:type="dxa" w:w="120"/>
              <w:right w:type="dxa" w:w="200"/>
            </w:tcMar>
          </w:tcPr>
          <w:p>
            <w:pPr>
              <w:spacing w:after="60"/>
            </w:pPr>
            <w:r>
              <w:rPr>
                <w:rFonts w:ascii="Consolas" w:cs="Consolas" w:eastAsia="Consolas" w:hAnsi="Consolas"/>
                <w:color w:val="404040"/>
                <w:sz w:val="19"/>
                <w:szCs w:val="19"/>
              </w:rPr>
              <w:t xml:space="preserve">[CUSTOMIZE: NATIONAL WEATHER SERVICE / COUNTY EMERGENCY MANAGEMENT] — [CUSTOMIZE: SEVERE THUNDERSTORM / TORNADO / FLASH FLOOD] WARNING</w:t>
            </w:r>
          </w:p>
          <w:p>
            <w:pPr>
              <w:spacing w:after="60"/>
            </w:pPr>
            <w:r>
              <w:rPr>
                <w:rFonts w:ascii="Consolas" w:cs="Consolas" w:eastAsia="Consolas" w:hAnsi="Consolas"/>
                <w:color w:val="404040"/>
                <w:sz w:val="19"/>
                <w:szCs w:val="19"/>
              </w:rPr>
              <w:t xml:space="preserve">Issued: Sunday 9:12 PM  |  In effect until: Sunday 11:30 PM</w:t>
            </w:r>
          </w:p>
          <w:p>
            <w:pPr>
              <w:spacing w:after="60"/>
            </w:pPr>
            <w:r>
              <w:rPr>
                <w:rFonts w:ascii="Consolas" w:cs="Consolas" w:eastAsia="Consolas" w:hAnsi="Consolas"/>
                <w:color w:val="404040"/>
                <w:sz w:val="19"/>
                <w:szCs w:val="19"/>
              </w:rPr>
              <w:t xml:space="preserve">Areas affected: [CUSTOMIZE: county / metro area], including [CUSTOMIZE: district where the facility is located]</w:t>
            </w:r>
          </w:p>
          <w:p>
            <w:pPr>
              <w:spacing w:after="60"/>
            </w:pPr>
            <w:r>
              <w:rPr>
                <w:rFonts w:ascii="Consolas" w:cs="Consolas" w:eastAsia="Consolas" w:hAnsi="Consolas"/>
                <w:color w:val="404040"/>
                <w:sz w:val="19"/>
                <w:szCs w:val="19"/>
              </w:rPr>
              <w:t xml:space="preserve">At 9:05 PM, [CUSTOMIZE: emergency services / trained spotters] reported [CUSTOMIZE: destructive straight-line winds and large hail / a confirmed tornado / rapidly rising floodwater] near [CUSTOMIZE: area]. Significant property damage is occurring. Widespread power outages are reported.</w:t>
            </w:r>
          </w:p>
          <w:p>
            <w:pPr>
              <w:spacing w:after="60"/>
            </w:pPr>
            <w:r>
              <w:rPr>
                <w:rFonts w:ascii="Consolas" w:cs="Consolas" w:eastAsia="Consolas" w:hAnsi="Consolas"/>
                <w:color w:val="404040"/>
                <w:sz w:val="19"/>
                <w:szCs w:val="19"/>
              </w:rPr>
              <w:t xml:space="preserve">Avoid all travel in the warned area. Do not enter damaged structures until cleared by authorities. Report emergencies to 911.</w:t>
            </w:r>
          </w:p>
        </w:tc>
      </w:tr>
    </w:tbl>
    <w:p>
      <w:pPr>
        <w:spacing w:after="120" w:before="0" w:line="276"/>
      </w:pPr>
      <w:r>
        <w:rPr>
          <w:rFonts w:ascii="Calibri" w:cs="Calibri" w:eastAsia="Calibri" w:hAnsi="Calibri"/>
          <w:color w:val="404040"/>
          <w:sz w:val="20"/>
          <w:szCs w:val="20"/>
        </w:rPr>
        <w:t xml:space="preserve">If the client's risk profile calls for a fire or earthquake variant, replace this bulletin with the equivalent emergency-services or building-security notification.</w:t>
      </w:r>
    </w:p>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2: Monday Morning Approaches</w:t>
      </w:r>
      <w:r>
        <w:rPr>
          <w:rFonts w:ascii="Calibri" w:cs="Calibri" w:eastAsia="Calibri" w:hAnsi="Calibri"/>
          <w:color w:val="404040"/>
          <w:sz w:val="21"/>
          <w:szCs w:val="21"/>
        </w:rPr>
        <w:t xml:space="preserve"/>
      </w:r>
    </w:p>
    <w:p>
      <w:pPr>
        <w:spacing w:after="120" w:before="0" w:line="276"/>
      </w:pPr>
      <w:r>
        <w:rPr>
          <w:rFonts w:ascii="Calibri" w:cs="Calibri" w:eastAsia="Calibri" w:hAnsi="Calibri"/>
          <w:color w:val="404040"/>
          <w:sz w:val="21"/>
          <w:szCs w:val="21"/>
        </w:rPr>
        <w:t xml:space="preserve">It is now 6:00 AM Monday. Employees will begin arriving for work in two hours. The facility remains [CUSTOMIZE: inaccessible / restricted access]. You need to communicate with [CUSTOMIZE: number] employees before they drive to a building they cannot enter. Your primary communication methods include: [CUSTOMIZE: email, phone tree, text message group, no defined method].</w:t>
      </w:r>
    </w:p>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3: Asset and Data Concerns</w:t>
      </w:r>
      <w:r>
        <w:rPr>
          <w:rFonts w:ascii="Calibri" w:cs="Calibri" w:eastAsia="Calibri" w:hAnsi="Calibri"/>
          <w:color w:val="404040"/>
          <w:sz w:val="21"/>
          <w:szCs w:val="21"/>
        </w:rPr>
        <w:t xml:space="preserve"/>
      </w:r>
    </w:p>
    <w:p>
      <w:pPr>
        <w:spacing w:after="120" w:before="0" w:line="276"/>
      </w:pPr>
      <w:r>
        <w:rPr>
          <w:rFonts w:ascii="Calibri" w:cs="Calibri" w:eastAsia="Calibri" w:hAnsi="Calibri"/>
          <w:color w:val="404040"/>
          <w:sz w:val="21"/>
          <w:szCs w:val="21"/>
        </w:rPr>
        <w:t xml:space="preserve">Your IT [director/contact] calls: “I need to know if our server room is okay. If the [CUSTOMIZE: servers / network equipment / on-premises backup drives] are damaged, we could lose [CUSTOMIZE: scope of potential data/system loss]. Our cloud services should be fine, but everything that runs on-premises — [CUSTOMIZE: specific systems] — is a question mark until I can get into the building.”</w:t>
      </w: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1F3864" w:sz="24"/>
              <w:bottom w:val="none" w:color="FFFFFF" w:sz="0"/>
              <w:right w:val="none" w:color="FFFFFF" w:sz="0"/>
            </w:tcBorders>
            <w:shd w:fill="EDF2F9" w:val="clear"/>
            <w:tcMar>
              <w:top w:type="dxa" w:w="100"/>
              <w:left w:type="dxa" w:w="160"/>
              <w:bottom w:type="dxa" w:w="100"/>
              <w:right w:type="dxa" w:w="160"/>
            </w:tcMar>
          </w:tcPr>
          <w:p>
            <w:pPr>
              <w:spacing w:after="60"/>
            </w:pPr>
            <w:r>
              <w:rPr>
                <w:rFonts w:ascii="Calibri" w:cs="Calibri" w:eastAsia="Calibri" w:hAnsi="Calibri"/>
                <w:b/>
                <w:bCs/>
                <w:color w:val="1F3864"/>
                <w:sz w:val="20"/>
                <w:szCs w:val="20"/>
              </w:rPr>
              <w:t xml:space="preserve">ℹ  GUIDANCE — Facilitator Note — Module 1</w:t>
            </w:r>
          </w:p>
          <w:p>
            <w:pPr>
              <w:spacing w:after="40" w:before="0" w:line="276"/>
            </w:pPr>
            <w:r>
              <w:rPr>
                <w:rFonts w:ascii="Calibri" w:cs="Calibri" w:eastAsia="Calibri" w:hAnsi="Calibri"/>
                <w:color w:val="404040"/>
                <w:sz w:val="20"/>
                <w:szCs w:val="20"/>
              </w:rPr>
              <w:t xml:space="preserve">Listen for: whether an employee-accountability process actually exists (check-in system, phone tree) or is being invented on the spot, whether anyone can locate the business continuity plan, and how quickly the on-premises data exposure is recognized. If nobody can say where backups live or when they were last tested, document that uncertainty as a finding for the AAR.</w:t>
            </w:r>
          </w:p>
        </w:tc>
      </w:tr>
    </w:tbl>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4: Remote Work Activation Challenges</w:t>
      </w:r>
      <w:r>
        <w:rPr>
          <w:rFonts w:ascii="Calibri" w:cs="Calibri" w:eastAsia="Calibri" w:hAnsi="Calibri"/>
          <w:color w:val="404040"/>
          <w:sz w:val="21"/>
          <w:szCs w:val="21"/>
        </w:rPr>
        <w:t xml:space="preserve"/>
      </w:r>
    </w:p>
    <w:p>
      <w:pPr>
        <w:spacing w:after="120" w:before="0" w:line="276"/>
      </w:pPr>
      <w:r>
        <w:rPr>
          <w:rFonts w:ascii="Calibri" w:cs="Calibri" w:eastAsia="Calibri" w:hAnsi="Calibri"/>
          <w:color w:val="404040"/>
          <w:sz w:val="21"/>
          <w:szCs w:val="21"/>
        </w:rPr>
        <w:t xml:space="preserve">Remote work has been activated for employees who can work from home. However: [CUSTOMIZE: 30–50%] of employees perform functions that require on-premises presence (e.g., [CUSTOMIZE: shipping, manufacturing, client meetings, lab work]). Several employees report they cannot access critical systems remotely because [CUSTOMIZE: VPN capacity is limited / they don't have company laptops / certain systems don't have remote access configured].</w:t>
      </w:r>
    </w:p>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5: Client and Stakeholder Communication</w:t>
      </w:r>
      <w:r>
        <w:rPr>
          <w:rFonts w:ascii="Calibri" w:cs="Calibri" w:eastAsia="Calibri" w:hAnsi="Calibri"/>
          <w:color w:val="404040"/>
          <w:sz w:val="21"/>
          <w:szCs w:val="21"/>
        </w:rPr>
        <w:t xml:space="preserve"/>
      </w:r>
    </w:p>
    <w:p>
      <w:pPr>
        <w:spacing w:after="120" w:before="0" w:line="276"/>
      </w:pPr>
      <w:r>
        <w:rPr>
          <w:rFonts w:ascii="Calibri" w:cs="Calibri" w:eastAsia="Calibri" w:hAnsi="Calibri"/>
          <w:color w:val="404040"/>
          <w:sz w:val="21"/>
          <w:szCs w:val="21"/>
        </w:rPr>
        <w:t xml:space="preserve">Your largest client calls: “We saw news coverage of [CUSTOMIZE: the storm / fire] in your area. Are you operational? We have [CUSTOMIZE: a deliverable due / a meeting scheduled / an order pending] this week. Should we be concerned?” Your [CUSTOMIZE: landlord / building management] calls to say the building inspection is scheduled for [CUSTOMIZE: Wednesday / next week]. They cannot give a timeline for when you can return.</w:t>
      </w:r>
    </w:p>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6: Insurance Activation</w:t>
      </w:r>
      <w:r>
        <w:rPr>
          <w:rFonts w:ascii="Calibri" w:cs="Calibri" w:eastAsia="Calibri" w:hAnsi="Calibri"/>
          <w:color w:val="404040"/>
          <w:sz w:val="21"/>
          <w:szCs w:val="21"/>
        </w:rPr>
        <w:t xml:space="preserve"/>
      </w:r>
    </w:p>
    <w:p>
      <w:pPr>
        <w:keepNext/>
        <w:spacing w:after="120" w:before="0" w:line="276"/>
      </w:pPr>
      <w:r>
        <w:rPr>
          <w:rFonts w:ascii="Calibri" w:cs="Calibri" w:eastAsia="Calibri" w:hAnsi="Calibri"/>
          <w:color w:val="404040"/>
          <w:sz w:val="21"/>
          <w:szCs w:val="21"/>
        </w:rPr>
        <w:t xml:space="preserve">Your [CFO / office manager] asks: “Do we file an insurance claim now or wait until we can assess the damage? What does our policy cover? Business interruption? Property damage? Both? I'm not sure where the policy documents are. Who is our agent?” A first notice of loss is filed through the carrier's web portal that afternoon; an automated reply arrives minutes later:</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9360"/>
      </w:tblGrid>
      <w:tr>
        <w:tc>
          <w:tcPr>
            <w:tcW w:type="dxa" w:w="9360"/>
            <w:shd w:fill="595959" w:val="clear"/>
            <w:tcMar>
              <w:top w:type="dxa" w:w="80"/>
              <w:left w:type="dxa" w:w="160"/>
              <w:bottom w:type="dxa" w:w="80"/>
              <w:right w:type="dxa" w:w="160"/>
            </w:tcMar>
          </w:tcPr>
          <w:p>
            <w:pPr>
              <w:spacing w:after="0"/>
            </w:pPr>
            <w:r>
              <w:rPr>
                <w:rFonts w:ascii="Calibri" w:cs="Calibri" w:eastAsia="Calibri" w:hAnsi="Calibri"/>
                <w:b/>
                <w:bCs/>
                <w:color w:val="FFFFFF"/>
                <w:sz w:val="20"/>
                <w:szCs w:val="20"/>
              </w:rPr>
              <w:t xml:space="preserve">SIMULATED ARTIFACT — Insurance Carrier Auto-Reply — First Notice of Loss (Simulated)</w:t>
            </w:r>
          </w:p>
        </w:tc>
      </w:tr>
      <w:tr>
        <w:tc>
          <w:tcPr>
            <w:tcW w:type="dxa" w:w="9360"/>
            <w:shd w:fill="FAFAFA" w:val="clear"/>
            <w:tcMar>
              <w:top w:type="dxa" w:w="120"/>
              <w:left w:type="dxa" w:w="200"/>
              <w:bottom w:type="dxa" w:w="120"/>
              <w:right w:type="dxa" w:w="200"/>
            </w:tcMar>
          </w:tcPr>
          <w:p>
            <w:pPr>
              <w:spacing w:after="60"/>
            </w:pPr>
            <w:r>
              <w:rPr>
                <w:rFonts w:ascii="Consolas" w:cs="Consolas" w:eastAsia="Consolas" w:hAnsi="Consolas"/>
                <w:color w:val="404040"/>
                <w:sz w:val="19"/>
                <w:szCs w:val="19"/>
              </w:rPr>
              <w:t xml:space="preserve">From: [CUSTOMIZE: carrier name] Claims Intake &lt;claims@[carrier].com&gt;</w:t>
            </w:r>
          </w:p>
          <w:p>
            <w:pPr>
              <w:spacing w:after="60"/>
            </w:pPr>
            <w:r>
              <w:rPr>
                <w:rFonts w:ascii="Consolas" w:cs="Consolas" w:eastAsia="Consolas" w:hAnsi="Consolas"/>
                <w:color w:val="404040"/>
                <w:sz w:val="19"/>
                <w:szCs w:val="19"/>
              </w:rPr>
              <w:t xml:space="preserve">To: [CFO / office manager]</w:t>
            </w:r>
          </w:p>
          <w:p>
            <w:pPr>
              <w:spacing w:after="60"/>
            </w:pPr>
            <w:r>
              <w:rPr>
                <w:rFonts w:ascii="Consolas" w:cs="Consolas" w:eastAsia="Consolas" w:hAnsi="Consolas"/>
                <w:color w:val="404040"/>
                <w:sz w:val="19"/>
                <w:szCs w:val="19"/>
              </w:rPr>
              <w:t xml:space="preserve">Subject: Claim #[CUSTOMIZE: claim number] received — [ORGANIZATION NAME]</w:t>
            </w:r>
          </w:p>
          <w:p>
            <w:pPr>
              <w:spacing w:after="60"/>
            </w:pPr>
            <w:r>
              <w:rPr>
                <w:rFonts w:ascii="Consolas" w:cs="Consolas" w:eastAsia="Consolas" w:hAnsi="Consolas"/>
                <w:color w:val="404040"/>
                <w:sz w:val="19"/>
                <w:szCs w:val="19"/>
              </w:rPr>
              <w:t xml:space="preserve">Thank you for submitting your first notice of loss. Due to the regional [CUSTOMIZE: storm / catastrophe] event, we are experiencing extremely high claim volume. Current status of your claim:</w:t>
            </w:r>
          </w:p>
          <w:p>
            <w:pPr>
              <w:spacing w:after="60"/>
            </w:pPr>
            <w:r>
              <w:rPr>
                <w:rFonts w:ascii="Consolas" w:cs="Consolas" w:eastAsia="Consolas" w:hAnsi="Consolas"/>
                <w:color w:val="404040"/>
                <w:sz w:val="19"/>
                <w:szCs w:val="19"/>
              </w:rPr>
              <w:t xml:space="preserve">— Assigned to the commercial property queue. Adjuster assignment: estimated [CUSTOMIZE: 5–10] business days.</w:t>
            </w:r>
          </w:p>
          <w:p>
            <w:pPr>
              <w:spacing w:after="60"/>
            </w:pPr>
            <w:r>
              <w:rPr>
                <w:rFonts w:ascii="Consolas" w:cs="Consolas" w:eastAsia="Consolas" w:hAnsi="Consolas"/>
                <w:color w:val="404040"/>
                <w:sz w:val="19"/>
                <w:szCs w:val="19"/>
              </w:rPr>
              <w:t xml:space="preserve">— Site inspection: scheduled after adjuster assignment. Current regional backlog: approximately [CUSTOMIZE: 2–3] weeks.</w:t>
            </w:r>
          </w:p>
          <w:p>
            <w:pPr>
              <w:spacing w:after="60"/>
            </w:pPr>
            <w:r>
              <w:rPr>
                <w:rFonts w:ascii="Consolas" w:cs="Consolas" w:eastAsia="Consolas" w:hAnsi="Consolas"/>
                <w:color w:val="404040"/>
                <w:sz w:val="19"/>
                <w:szCs w:val="19"/>
              </w:rPr>
              <w:t xml:space="preserve">Please document all damage with date-stamped photographs and retain damaged property until inspected. Emergency mitigation expenses (board-up, water extraction, temporary security) may be reimbursable — retain all receipts. Refer to your policy for business interruption waiting periods and documentation requirements. Do not authorize permanent repairs before inspection.</w:t>
            </w:r>
          </w:p>
          <w:p>
            <w:pPr>
              <w:spacing w:after="60"/>
            </w:pPr>
            <w:r>
              <w:rPr>
                <w:rFonts w:ascii="Consolas" w:cs="Consolas" w:eastAsia="Consolas" w:hAnsi="Consolas"/>
                <w:color w:val="404040"/>
                <w:sz w:val="19"/>
                <w:szCs w:val="19"/>
              </w:rPr>
              <w:t xml:space="preserve">This mailbox is not monitored. Your adjuster will contact you directly upon assignment.</w:t>
            </w:r>
          </w:p>
        </w:tc>
      </w:tr>
    </w:tbl>
    <w:p>
      <w:pPr>
        <w:spacing w:after="120"/>
      </w:pP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1F3864" w:sz="24"/>
              <w:bottom w:val="none" w:color="FFFFFF" w:sz="0"/>
              <w:right w:val="none" w:color="FFFFFF" w:sz="0"/>
            </w:tcBorders>
            <w:shd w:fill="EDF2F9" w:val="clear"/>
            <w:tcMar>
              <w:top w:type="dxa" w:w="100"/>
              <w:left w:type="dxa" w:w="160"/>
              <w:bottom w:type="dxa" w:w="100"/>
              <w:right w:type="dxa" w:w="160"/>
            </w:tcMar>
          </w:tcPr>
          <w:p>
            <w:pPr>
              <w:spacing w:after="60"/>
            </w:pPr>
            <w:r>
              <w:rPr>
                <w:rFonts w:ascii="Calibri" w:cs="Calibri" w:eastAsia="Calibri" w:hAnsi="Calibri"/>
                <w:b/>
                <w:bCs/>
                <w:color w:val="1F3864"/>
                <w:sz w:val="20"/>
                <w:szCs w:val="20"/>
              </w:rPr>
              <w:t xml:space="preserve">ℹ  GUIDANCE — Facilitator Note — Module 2</w:t>
            </w:r>
          </w:p>
          <w:p>
            <w:pPr>
              <w:spacing w:after="40" w:before="0" w:line="276"/>
            </w:pPr>
            <w:r>
              <w:rPr>
                <w:rFonts w:ascii="Calibri" w:cs="Calibri" w:eastAsia="Calibri" w:hAnsi="Calibri"/>
                <w:color w:val="404040"/>
                <w:sz w:val="20"/>
                <w:szCs w:val="20"/>
              </w:rPr>
              <w:t xml:space="preserve">Listen for: a realistic assessment of which functions truly cannot go remote, whether client messaging is owned and consistent or improvised per call, and whether anyone knows the insurance policy terms (deductible, business interruption waiting period, documentation requirements). Document policy-knowledge gaps and remote-access limitations as findings for the AAR.</w:t>
            </w:r>
          </w:p>
        </w:tc>
      </w:tr>
    </w:tbl>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7: Building Assessment Results</w:t>
      </w:r>
      <w:r>
        <w:rPr>
          <w:rFonts w:ascii="Calibri" w:cs="Calibri" w:eastAsia="Calibri" w:hAnsi="Calibri"/>
          <w:color w:val="404040"/>
          <w:sz w:val="21"/>
          <w:szCs w:val="21"/>
        </w:rPr>
        <w:t xml:space="preserve"/>
      </w:r>
    </w:p>
    <w:p>
      <w:pPr>
        <w:spacing w:after="120" w:before="0" w:line="276"/>
      </w:pPr>
      <w:r>
        <w:rPr>
          <w:rFonts w:ascii="Calibri" w:cs="Calibri" w:eastAsia="Calibri" w:hAnsi="Calibri"/>
          <w:color w:val="404040"/>
          <w:sz w:val="21"/>
          <w:szCs w:val="21"/>
        </w:rPr>
        <w:t xml:space="preserve">The building inspection is complete. </w:t>
      </w:r>
      <w:r>
        <w:rPr>
          <w:rFonts w:ascii="Calibri" w:cs="Calibri" w:eastAsia="Calibri" w:hAnsi="Calibri"/>
          <w:b/>
          <w:bCs/>
          <w:color w:val="404040"/>
          <w:sz w:val="21"/>
          <w:szCs w:val="21"/>
        </w:rPr>
        <w:t xml:space="preserve">OPTION A:</w:t>
      </w:r>
      <w:r>
        <w:rPr>
          <w:rFonts w:ascii="Calibri" w:cs="Calibri" w:eastAsia="Calibri" w:hAnsi="Calibri"/>
          <w:color w:val="404040"/>
          <w:sz w:val="21"/>
          <w:szCs w:val="21"/>
        </w:rPr>
        <w:t xml:space="preserve"> The damage is repairable. Estimated timeline: 3–4 weeks for repairs, 1 additional week for systems restoration. The server room was affected but hard drives appear intact pending professional data recovery assessment. </w:t>
      </w:r>
      <w:r>
        <w:rPr>
          <w:rFonts w:ascii="Calibri" w:cs="Calibri" w:eastAsia="Calibri" w:hAnsi="Calibri"/>
          <w:b/>
          <w:bCs/>
          <w:color w:val="404040"/>
          <w:sz w:val="21"/>
          <w:szCs w:val="21"/>
        </w:rPr>
        <w:t xml:space="preserve">OPTION B:</w:t>
      </w:r>
      <w:r>
        <w:rPr>
          <w:rFonts w:ascii="Calibri" w:cs="Calibri" w:eastAsia="Calibri" w:hAnsi="Calibri"/>
          <w:color w:val="404040"/>
          <w:sz w:val="21"/>
          <w:szCs w:val="21"/>
        </w:rPr>
        <w:t xml:space="preserve"> The damage is more extensive than initially assessed. The building will require 2–3 months of repairs. Some areas may need complete reconstruction. On-premises servers and paper records in the affected area are a total loss.</w:t>
      </w:r>
    </w:p>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8: The Resilience Question</w:t>
      </w:r>
      <w:r>
        <w:rPr>
          <w:rFonts w:ascii="Calibri" w:cs="Calibri" w:eastAsia="Calibri" w:hAnsi="Calibri"/>
          <w:color w:val="404040"/>
          <w:sz w:val="21"/>
          <w:szCs w:val="21"/>
        </w:rPr>
        <w:t xml:space="preserve"/>
      </w:r>
    </w:p>
    <w:p>
      <w:pPr>
        <w:spacing w:after="120" w:before="0" w:line="276"/>
      </w:pPr>
      <w:r>
        <w:rPr>
          <w:rFonts w:ascii="Calibri" w:cs="Calibri" w:eastAsia="Calibri" w:hAnsi="Calibri"/>
          <w:color w:val="404040"/>
          <w:sz w:val="21"/>
          <w:szCs w:val="21"/>
        </w:rPr>
        <w:t xml:space="preserve">Two weeks into the disruption, the leadership team convenes to discuss lessons learned. The COO asks: “We've been making this work with duct tape and good intentions. What do we need to invest in so that the next time something like this happens — because it will happen again — we can continue operating without missing a beat?”</w:t>
      </w: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1F3864" w:sz="24"/>
              <w:bottom w:val="none" w:color="FFFFFF" w:sz="0"/>
              <w:right w:val="none" w:color="FFFFFF" w:sz="0"/>
            </w:tcBorders>
            <w:shd w:fill="EDF2F9" w:val="clear"/>
            <w:tcMar>
              <w:top w:type="dxa" w:w="100"/>
              <w:left w:type="dxa" w:w="160"/>
              <w:bottom w:type="dxa" w:w="100"/>
              <w:right w:type="dxa" w:w="160"/>
            </w:tcMar>
          </w:tcPr>
          <w:p>
            <w:pPr>
              <w:spacing w:after="60"/>
            </w:pPr>
            <w:r>
              <w:rPr>
                <w:rFonts w:ascii="Calibri" w:cs="Calibri" w:eastAsia="Calibri" w:hAnsi="Calibri"/>
                <w:b/>
                <w:bCs/>
                <w:color w:val="1F3864"/>
                <w:sz w:val="20"/>
                <w:szCs w:val="20"/>
              </w:rPr>
              <w:t xml:space="preserve">ℹ  GUIDANCE — Facilitator Note — Module 3</w:t>
            </w:r>
          </w:p>
          <w:p>
            <w:pPr>
              <w:spacing w:after="40" w:before="0" w:line="276"/>
            </w:pPr>
            <w:r>
              <w:rPr>
                <w:rFonts w:ascii="Calibri" w:cs="Calibri" w:eastAsia="Calibri" w:hAnsi="Calibri"/>
                <w:color w:val="404040"/>
                <w:sz w:val="20"/>
                <w:szCs w:val="20"/>
              </w:rPr>
              <w:t xml:space="preserve">Listen for: whether the recovery plan changes credibly between the 3–4 week and 2–3 month outcomes, whether resilience investments get named owners and rough costs, and what participants admit surprised them most. Document single points of failure — the facility itself, on-premises servers, paper records — as findings for the AAR.</w:t>
            </w:r>
          </w:p>
        </w:tc>
      </w:tr>
    </w:tbl>
    <w:p>
      <w:pPr>
        <w:pStyle w:val="Heading2"/>
        <w:keepNext/>
        <w:spacing w:after="110" w:before="240"/>
      </w:pPr>
      <w:r>
        <w:rPr>
          <w:rFonts w:ascii="Calibri" w:cs="Calibri" w:eastAsia="Calibri" w:hAnsi="Calibri"/>
          <w:b/>
          <w:bCs/>
          <w:color w:val="2E74B5"/>
          <w:sz w:val="25"/>
          <w:szCs w:val="25"/>
        </w:rPr>
        <w:t xml:space="preserve">MSEL Summary Table</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700"/>
        <w:gridCol w:w="800"/>
        <w:gridCol w:w="900"/>
        <w:gridCol w:w="1100"/>
        <w:gridCol w:w="2900"/>
        <w:gridCol w:w="2960"/>
      </w:tblGrid>
      <w:tr>
        <w:trPr>
          <w:tblHeader/>
        </w:trPr>
        <w:tc>
          <w:tcPr>
            <w:tcW w:type="dxa" w:w="7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Inject</w:t>
            </w:r>
          </w:p>
        </w:tc>
        <w:tc>
          <w:tcPr>
            <w:tcW w:type="dxa" w:w="8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Time</w:t>
            </w:r>
          </w:p>
        </w:tc>
        <w:tc>
          <w:tcPr>
            <w:tcW w:type="dxa" w:w="9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Module</w:t>
            </w:r>
          </w:p>
        </w:tc>
        <w:tc>
          <w:tcPr>
            <w:tcW w:type="dxa" w:w="11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Method</w:t>
            </w:r>
          </w:p>
        </w:tc>
        <w:tc>
          <w:tcPr>
            <w:tcW w:type="dxa" w:w="29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Content Summary</w:t>
            </w:r>
          </w:p>
        </w:tc>
        <w:tc>
          <w:tcPr>
            <w:tcW w:type="dxa" w:w="29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Expected Discussion</w:t>
            </w:r>
          </w:p>
        </w:tc>
      </w:tr>
      <w:tr>
        <w:tc>
          <w:tcPr>
            <w:tcW w:type="dxa" w:w="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w:t>
            </w:r>
          </w:p>
        </w:tc>
        <w:tc>
          <w:tcPr>
            <w:tcW w:type="dxa" w:w="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+0:00</w:t>
            </w:r>
          </w:p>
        </w:tc>
        <w:tc>
          <w:tcPr>
            <w:tcW w:type="dxa" w:w="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w:t>
            </w:r>
          </w:p>
        </w:tc>
        <w:tc>
          <w:tcPr>
            <w:tcW w:type="dxa" w:w="1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Artifact</w:t>
            </w:r>
          </w:p>
        </w:tc>
        <w:tc>
          <w:tcPr>
            <w:tcW w:type="dxa" w:w="2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Facility damaged, preliminary report; emergency alert bulletin</w:t>
            </w:r>
          </w:p>
        </w:tc>
        <w:tc>
          <w:tcPr>
            <w:tcW w:type="dxa" w:w="29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Safety, facility assessment, immediate response</w:t>
            </w:r>
          </w:p>
        </w:tc>
      </w:tr>
      <w:tr>
        <w:tc>
          <w:tcPr>
            <w:tcW w:type="dxa" w:w="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2</w:t>
            </w:r>
          </w:p>
        </w:tc>
        <w:tc>
          <w:tcPr>
            <w:tcW w:type="dxa" w:w="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+0:10</w:t>
            </w:r>
          </w:p>
        </w:tc>
        <w:tc>
          <w:tcPr>
            <w:tcW w:type="dxa" w:w="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w:t>
            </w:r>
          </w:p>
        </w:tc>
        <w:tc>
          <w:tcPr>
            <w:tcW w:type="dxa" w:w="1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Verbal</w:t>
            </w:r>
          </w:p>
        </w:tc>
        <w:tc>
          <w:tcPr>
            <w:tcW w:type="dxa" w:w="2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Monday morning: employees arriving in 2 hours</w:t>
            </w:r>
          </w:p>
        </w:tc>
        <w:tc>
          <w:tcPr>
            <w:tcW w:type="dxa" w:w="29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Employee communication, remote work, employee safety</w:t>
            </w:r>
          </w:p>
        </w:tc>
      </w:tr>
      <w:tr>
        <w:tc>
          <w:tcPr>
            <w:tcW w:type="dxa" w:w="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3</w:t>
            </w:r>
          </w:p>
        </w:tc>
        <w:tc>
          <w:tcPr>
            <w:tcW w:type="dxa" w:w="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+0:25</w:t>
            </w:r>
          </w:p>
        </w:tc>
        <w:tc>
          <w:tcPr>
            <w:tcW w:type="dxa" w:w="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w:t>
            </w:r>
          </w:p>
        </w:tc>
        <w:tc>
          <w:tcPr>
            <w:tcW w:type="dxa" w:w="1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Verbal</w:t>
            </w:r>
          </w:p>
        </w:tc>
        <w:tc>
          <w:tcPr>
            <w:tcW w:type="dxa" w:w="2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IT concerned about on-premises assets</w:t>
            </w:r>
          </w:p>
        </w:tc>
        <w:tc>
          <w:tcPr>
            <w:tcW w:type="dxa" w:w="29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Data/system recovery, cloud vs. on-premises exposure</w:t>
            </w:r>
          </w:p>
        </w:tc>
      </w:tr>
      <w:tr>
        <w:tc>
          <w:tcPr>
            <w:tcW w:type="dxa" w:w="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4</w:t>
            </w:r>
          </w:p>
        </w:tc>
        <w:tc>
          <w:tcPr>
            <w:tcW w:type="dxa" w:w="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+0:35</w:t>
            </w:r>
          </w:p>
        </w:tc>
        <w:tc>
          <w:tcPr>
            <w:tcW w:type="dxa" w:w="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2</w:t>
            </w:r>
          </w:p>
        </w:tc>
        <w:tc>
          <w:tcPr>
            <w:tcW w:type="dxa" w:w="1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Verbal</w:t>
            </w:r>
          </w:p>
        </w:tc>
        <w:tc>
          <w:tcPr>
            <w:tcW w:type="dxa" w:w="2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Remote work challenges: capacity, access, capability gaps</w:t>
            </w:r>
          </w:p>
        </w:tc>
        <w:tc>
          <w:tcPr>
            <w:tcW w:type="dxa" w:w="29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Operational continuity, workarounds, productivity</w:t>
            </w:r>
          </w:p>
        </w:tc>
      </w:tr>
      <w:tr>
        <w:tc>
          <w:tcPr>
            <w:tcW w:type="dxa" w:w="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5</w:t>
            </w:r>
          </w:p>
        </w:tc>
        <w:tc>
          <w:tcPr>
            <w:tcW w:type="dxa" w:w="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+0:50</w:t>
            </w:r>
          </w:p>
        </w:tc>
        <w:tc>
          <w:tcPr>
            <w:tcW w:type="dxa" w:w="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2</w:t>
            </w:r>
          </w:p>
        </w:tc>
        <w:tc>
          <w:tcPr>
            <w:tcW w:type="dxa" w:w="1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Verbal</w:t>
            </w:r>
          </w:p>
        </w:tc>
        <w:tc>
          <w:tcPr>
            <w:tcW w:type="dxa" w:w="2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Client and landlord inquiries</w:t>
            </w:r>
          </w:p>
        </w:tc>
        <w:tc>
          <w:tcPr>
            <w:tcW w:type="dxa" w:w="29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Stakeholder communication, timeline uncertainty</w:t>
            </w:r>
          </w:p>
        </w:tc>
      </w:tr>
      <w:tr>
        <w:tc>
          <w:tcPr>
            <w:tcW w:type="dxa" w:w="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6</w:t>
            </w:r>
          </w:p>
        </w:tc>
        <w:tc>
          <w:tcPr>
            <w:tcW w:type="dxa" w:w="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+1:00</w:t>
            </w:r>
          </w:p>
        </w:tc>
        <w:tc>
          <w:tcPr>
            <w:tcW w:type="dxa" w:w="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2</w:t>
            </w:r>
          </w:p>
        </w:tc>
        <w:tc>
          <w:tcPr>
            <w:tcW w:type="dxa" w:w="1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Artifact</w:t>
            </w:r>
          </w:p>
        </w:tc>
        <w:tc>
          <w:tcPr>
            <w:tcW w:type="dxa" w:w="2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Insurance questions surface; carrier auto-reply with adjuster backlog</w:t>
            </w:r>
          </w:p>
        </w:tc>
        <w:tc>
          <w:tcPr>
            <w:tcW w:type="dxa" w:w="29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Claims process, policy knowledge, financial recovery</w:t>
            </w:r>
          </w:p>
        </w:tc>
      </w:tr>
      <w:tr>
        <w:tc>
          <w:tcPr>
            <w:tcW w:type="dxa" w:w="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7</w:t>
            </w:r>
          </w:p>
        </w:tc>
        <w:tc>
          <w:tcPr>
            <w:tcW w:type="dxa" w:w="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+1:25</w:t>
            </w:r>
          </w:p>
        </w:tc>
        <w:tc>
          <w:tcPr>
            <w:tcW w:type="dxa" w:w="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3</w:t>
            </w:r>
          </w:p>
        </w:tc>
        <w:tc>
          <w:tcPr>
            <w:tcW w:type="dxa" w:w="1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Verbal</w:t>
            </w:r>
          </w:p>
        </w:tc>
        <w:tc>
          <w:tcPr>
            <w:tcW w:type="dxa" w:w="2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Building assessment: repairable or extensive damage</w:t>
            </w:r>
          </w:p>
        </w:tc>
        <w:tc>
          <w:tcPr>
            <w:tcW w:type="dxa" w:w="29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Recovery planning, timeline, resource allocation</w:t>
            </w:r>
          </w:p>
        </w:tc>
      </w:tr>
      <w:tr>
        <w:tc>
          <w:tcPr>
            <w:tcW w:type="dxa" w:w="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8</w:t>
            </w:r>
          </w:p>
        </w:tc>
        <w:tc>
          <w:tcPr>
            <w:tcW w:type="dxa" w:w="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+1:40</w:t>
            </w:r>
          </w:p>
        </w:tc>
        <w:tc>
          <w:tcPr>
            <w:tcW w:type="dxa" w:w="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3</w:t>
            </w:r>
          </w:p>
        </w:tc>
        <w:tc>
          <w:tcPr>
            <w:tcW w:type="dxa" w:w="1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Verbal</w:t>
            </w:r>
          </w:p>
        </w:tc>
        <w:tc>
          <w:tcPr>
            <w:tcW w:type="dxa" w:w="2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The resilience question: what do we invest in?</w:t>
            </w:r>
          </w:p>
        </w:tc>
        <w:tc>
          <w:tcPr>
            <w:tcW w:type="dxa" w:w="29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Strategic planning, resilience investment, culture change</w:t>
            </w:r>
          </w:p>
        </w:tc>
      </w:tr>
    </w:tbl>
    <w:p>
      <w:r>
        <w:br w:type="page"/>
      </w:r>
    </w:p>
    <w:p>
      <w:pPr>
        <w:pStyle w:val="Heading1"/>
        <w:keepNext/>
        <w:spacing w:after="140" w:before="320"/>
      </w:pPr>
      <w:r>
        <w:rPr>
          <w:rFonts w:ascii="Calibri" w:cs="Calibri" w:eastAsia="Calibri" w:hAnsi="Calibri"/>
          <w:b/>
          <w:bCs/>
          <w:color w:val="1F3864"/>
          <w:sz w:val="30"/>
          <w:szCs w:val="30"/>
        </w:rPr>
        <w:t xml:space="preserve">Facilitator Notes</w:t>
      </w:r>
    </w:p>
    <w:p>
      <w:pPr>
        <w:pStyle w:val="Heading2"/>
        <w:keepNext/>
        <w:spacing w:after="110" w:before="240"/>
      </w:pPr>
      <w:r>
        <w:rPr>
          <w:rFonts w:ascii="Calibri" w:cs="Calibri" w:eastAsia="Calibri" w:hAnsi="Calibri"/>
          <w:b/>
          <w:bCs/>
          <w:color w:val="2E74B5"/>
          <w:sz w:val="25"/>
          <w:szCs w:val="25"/>
        </w:rPr>
        <w:t xml:space="preserve">Framing Reminders</w:t>
      </w:r>
    </w:p>
    <w:p>
      <w:pPr>
        <w:spacing w:after="120" w:before="0" w:line="276"/>
      </w:pPr>
      <w:r>
        <w:rPr>
          <w:rFonts w:ascii="Calibri" w:cs="Calibri" w:eastAsia="Calibri" w:hAnsi="Calibri"/>
          <w:color w:val="404040"/>
          <w:sz w:val="21"/>
          <w:szCs w:val="21"/>
        </w:rPr>
        <w:t xml:space="preserve">This is a business response exercise, not a technical disaster-recovery walkthrough. Keep the discussion focused on decisions, communication, and coordination rather than technical restoration procedures. When participants want to discuss technical details (data recovery methods, server salvage, network rebuild sequencing), acknowledge the question and redirect: “That's an important technical question. For today's exercise, let's focus on the business decision: given that you don't have an immediate answer to that technical question, what do you do next?”</w:t>
      </w:r>
    </w:p>
    <w:p>
      <w:pPr>
        <w:pStyle w:val="Heading2"/>
        <w:keepNext/>
        <w:spacing w:after="110" w:before="240"/>
      </w:pPr>
      <w:r>
        <w:rPr>
          <w:rFonts w:ascii="Calibri" w:cs="Calibri" w:eastAsia="Calibri" w:hAnsi="Calibri"/>
          <w:b/>
          <w:bCs/>
          <w:color w:val="2E74B5"/>
          <w:sz w:val="25"/>
          <w:szCs w:val="25"/>
        </w:rPr>
        <w:t xml:space="preserve">Disaster Type Selection</w:t>
      </w:r>
    </w:p>
    <w:p>
      <w:pPr>
        <w:spacing w:after="120" w:before="0" w:line="276"/>
      </w:pPr>
      <w:r>
        <w:rPr>
          <w:rFonts w:ascii="Calibri" w:cs="Calibri" w:eastAsia="Calibri" w:hAnsi="Calibri"/>
          <w:color w:val="404040"/>
          <w:sz w:val="21"/>
          <w:szCs w:val="21"/>
        </w:rPr>
        <w:t xml:space="preserve">Choose the disaster type based on the client's geographic risk profile: flood for coastal/low-lying areas, earthquake for seismic zones, severe storm for tornado/hurricane corridors, fire for any location. The disaster type is less important than the facility loss consequence — the exercise tests what happens when you can't go to work, regardless of why.</w:t>
      </w:r>
    </w:p>
    <w:p>
      <w:pPr>
        <w:pStyle w:val="Heading2"/>
        <w:keepNext/>
        <w:spacing w:after="110" w:before="240"/>
      </w:pPr>
      <w:r>
        <w:rPr>
          <w:rFonts w:ascii="Calibri" w:cs="Calibri" w:eastAsia="Calibri" w:hAnsi="Calibri"/>
          <w:b/>
          <w:bCs/>
          <w:color w:val="2E74B5"/>
          <w:sz w:val="25"/>
          <w:szCs w:val="25"/>
        </w:rPr>
        <w:t xml:space="preserve">Common Participant Responses and Probe Questions</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3700"/>
        <w:gridCol w:w="5660"/>
      </w:tblGrid>
      <w:tr>
        <w:trPr>
          <w:tblHeader/>
        </w:trPr>
        <w:tc>
          <w:tcPr>
            <w:tcW w:type="dxa" w:w="37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If Participants...</w:t>
            </w:r>
          </w:p>
        </w:tc>
        <w:tc>
          <w:tcPr>
            <w:tcW w:type="dxa" w:w="56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Probe With...</w:t>
            </w:r>
          </w:p>
        </w:tc>
      </w:tr>
      <w:tr>
        <w:tc>
          <w:tcPr>
            <w:tcW w:type="dxa" w:w="3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“Everyone can work from home”</w:t>
            </w:r>
          </w:p>
        </w:tc>
        <w:tc>
          <w:tcPr>
            <w:tcW w:type="dxa" w:w="56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“What about your shipping staff? Your receptionist? The people who operate equipment? What percentage of your workforce can actually perform their full job remotely?”</w:t>
            </w:r>
          </w:p>
        </w:tc>
      </w:tr>
      <w:tr>
        <w:tc>
          <w:tcPr>
            <w:tcW w:type="dxa" w:w="3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“We have insurance for this”</w:t>
            </w:r>
          </w:p>
        </w:tc>
        <w:tc>
          <w:tcPr>
            <w:tcW w:type="dxa" w:w="56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“Do you know your deductible? Your waiting period? What documentation does the carrier require? Have you ever filed a claim? Who manages that process?”</w:t>
            </w:r>
          </w:p>
        </w:tc>
      </w:tr>
      <w:tr>
        <w:tc>
          <w:tcPr>
            <w:tcW w:type="dxa" w:w="3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“We'll just find temporary office space”</w:t>
            </w:r>
          </w:p>
        </w:tc>
        <w:tc>
          <w:tcPr>
            <w:tcW w:type="dxa" w:w="56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“Where? How quickly can you find, lease, and set up a functional workspace? What about IT infrastructure? Phone systems? How do clients find you?”</w:t>
            </w:r>
          </w:p>
        </w:tc>
      </w:tr>
      <w:tr>
        <w:tc>
          <w:tcPr>
            <w:tcW w:type="dxa" w:w="3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Don't address the on-premises server question</w:t>
            </w:r>
          </w:p>
        </w:tc>
        <w:tc>
          <w:tcPr>
            <w:tcW w:type="dxa" w:w="56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“Your IT contact said the server room may be damaged. If those drives are destroyed, what data is lost? When was the last backup test? Where is the backup stored?”</w:t>
            </w:r>
          </w:p>
        </w:tc>
      </w:tr>
      <w:tr>
        <w:tc>
          <w:tcPr>
            <w:tcW w:type="dxa" w:w="3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Assume the building will reopen quickly</w:t>
            </w:r>
          </w:p>
        </w:tc>
        <w:tc>
          <w:tcPr>
            <w:tcW w:type="dxa" w:w="56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“The inspector hasn't been yet. What if the report says 2 months of repairs? What if the fire suppression system needs recertification? Plan for the worst case, not the best.”</w:t>
            </w:r>
          </w:p>
        </w:tc>
      </w:tr>
      <w:tr>
        <w:tc>
          <w:tcPr>
            <w:tcW w:type="dxa" w:w="3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Skip employee safety accountability</w:t>
            </w:r>
          </w:p>
        </w:tc>
        <w:tc>
          <w:tcPr>
            <w:tcW w:type="dxa" w:w="56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“The disaster happened on a Sunday evening. How did you confirm no one was in the building? Do you have an employee check-in process? A phone tree? An emergency notification system?”</w:t>
            </w:r>
          </w:p>
        </w:tc>
      </w:tr>
    </w:tbl>
    <w:p>
      <w:r>
        <w:br w:type="page"/>
      </w:r>
    </w:p>
    <w:p>
      <w:pPr>
        <w:pStyle w:val="Heading1"/>
        <w:keepNext/>
        <w:spacing w:after="140" w:before="320"/>
      </w:pPr>
      <w:r>
        <w:rPr>
          <w:rFonts w:ascii="Calibri" w:cs="Calibri" w:eastAsia="Calibri" w:hAnsi="Calibri"/>
          <w:b/>
          <w:bCs/>
          <w:color w:val="1F3864"/>
          <w:sz w:val="30"/>
          <w:szCs w:val="30"/>
        </w:rPr>
        <w:t xml:space="preserve">Customization Checklist</w:t>
      </w:r>
    </w:p>
    <w:p>
      <w:pPr>
        <w:spacing w:after="120" w:before="0" w:line="276"/>
      </w:pPr>
      <w:r>
        <w:rPr>
          <w:rFonts w:ascii="Calibri" w:cs="Calibri" w:eastAsia="Calibri" w:hAnsi="Calibri"/>
          <w:color w:val="404040"/>
          <w:sz w:val="21"/>
          <w:szCs w:val="21"/>
        </w:rPr>
        <w:t xml:space="preserve">Customize the following elements before delivery. All [CUSTOMIZE] tags in the narrative and artifacts should be replaced with client-specific details.</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2400"/>
        <w:gridCol w:w="3100"/>
        <w:gridCol w:w="3860"/>
      </w:tblGrid>
      <w:tr>
        <w:trPr>
          <w:tblHeader/>
        </w:trPr>
        <w:tc>
          <w:tcPr>
            <w:tcW w:type="dxa" w:w="24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Element</w:t>
            </w:r>
          </w:p>
        </w:tc>
        <w:tc>
          <w:tcPr>
            <w:tcW w:type="dxa" w:w="31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Default</w:t>
            </w:r>
          </w:p>
        </w:tc>
        <w:tc>
          <w:tcPr>
            <w:tcW w:type="dxa" w:w="38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Customize To</w:t>
            </w:r>
          </w:p>
        </w:tc>
      </w:tr>
      <w:tr>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Disaster type</w:t>
            </w:r>
          </w:p>
        </w:tc>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Severe storm</w:t>
            </w:r>
          </w:p>
        </w:tc>
        <w:tc>
          <w:tcPr>
            <w:tcW w:type="dxa" w:w="38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Most relevant to client's geographic risk profile</w:t>
            </w:r>
          </w:p>
        </w:tc>
      </w:tr>
      <w:tr>
        <w:tc>
          <w:tcPr>
            <w:tcW w:type="dxa" w:w="2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Facility type</w:t>
            </w:r>
          </w:p>
        </w:tc>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Single-location office</w:t>
            </w:r>
          </w:p>
        </w:tc>
        <w:tc>
          <w:tcPr>
            <w:tcW w:type="dxa" w:w="38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Client's actual facility situation</w:t>
            </w:r>
          </w:p>
        </w:tc>
      </w:tr>
      <w:tr>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On-premises assets</w:t>
            </w:r>
          </w:p>
        </w:tc>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Servers, paper records</w:t>
            </w:r>
          </w:p>
        </w:tc>
        <w:tc>
          <w:tcPr>
            <w:tcW w:type="dxa" w:w="38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Client's actual on-premises assets from intake</w:t>
            </w:r>
          </w:p>
        </w:tc>
      </w:tr>
      <w:tr>
        <w:tc>
          <w:tcPr>
            <w:tcW w:type="dxa" w:w="2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Remote work capability</w:t>
            </w:r>
          </w:p>
        </w:tc>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50% can work remotely</w:t>
            </w:r>
          </w:p>
        </w:tc>
        <w:tc>
          <w:tcPr>
            <w:tcW w:type="dxa" w:w="38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Client's actual remote capability from intake</w:t>
            </w:r>
          </w:p>
        </w:tc>
      </w:tr>
      <w:tr>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BC plan status</w:t>
            </w:r>
          </w:p>
        </w:tc>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No formal plan</w:t>
            </w:r>
          </w:p>
        </w:tc>
        <w:tc>
          <w:tcPr>
            <w:tcW w:type="dxa" w:w="38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Client's actual BC plan status from intake Section 6</w:t>
            </w:r>
          </w:p>
        </w:tc>
      </w:tr>
      <w:tr>
        <w:tc>
          <w:tcPr>
            <w:tcW w:type="dxa" w:w="2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Communication method</w:t>
            </w:r>
          </w:p>
        </w:tc>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Email + phone tree</w:t>
            </w:r>
          </w:p>
        </w:tc>
        <w:tc>
          <w:tcPr>
            <w:tcW w:type="dxa" w:w="38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Client's actual employee communication channels</w:t>
            </w:r>
          </w:p>
        </w:tc>
      </w:tr>
      <w:tr>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Insurance knowledge</w:t>
            </w:r>
          </w:p>
        </w:tc>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Unknown to most participants</w:t>
            </w:r>
          </w:p>
        </w:tc>
        <w:tc>
          <w:tcPr>
            <w:tcW w:type="dxa" w:w="38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Based on intake Section 5</w:t>
            </w:r>
          </w:p>
        </w:tc>
      </w:tr>
      <w:tr>
        <w:tc>
          <w:tcPr>
            <w:tcW w:type="dxa" w:w="2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Option A or B (Module 3)</w:t>
            </w:r>
          </w:p>
        </w:tc>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A (repairable)</w:t>
            </w:r>
          </w:p>
        </w:tc>
        <w:tc>
          <w:tcPr>
            <w:tcW w:type="dxa" w:w="38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Based on desired exercise intensity</w:t>
            </w:r>
          </w:p>
        </w:tc>
      </w:tr>
    </w:tbl>
    <w:p>
      <w:pPr>
        <w:spacing w:after="120"/>
      </w:pP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2E74B5" w:sz="24"/>
              <w:bottom w:val="none" w:color="FFFFFF" w:sz="0"/>
              <w:right w:val="none" w:color="FFFFFF" w:sz="0"/>
            </w:tcBorders>
            <w:shd w:fill="DEEBF7" w:val="clear"/>
            <w:tcMar>
              <w:top w:type="dxa" w:w="100"/>
              <w:left w:type="dxa" w:w="160"/>
              <w:bottom w:type="dxa" w:w="100"/>
              <w:right w:type="dxa" w:w="160"/>
            </w:tcMar>
          </w:tcPr>
          <w:p>
            <w:pPr>
              <w:spacing w:after="60"/>
            </w:pPr>
            <w:r>
              <w:rPr>
                <w:rFonts w:ascii="Calibri" w:cs="Calibri" w:eastAsia="Calibri" w:hAnsi="Calibri"/>
                <w:b/>
                <w:bCs/>
                <w:color w:val="2E74B5"/>
                <w:sz w:val="20"/>
                <w:szCs w:val="20"/>
              </w:rPr>
              <w:t xml:space="preserve">✎  CUSTOMIZE — Before Delivery</w:t>
            </w:r>
          </w:p>
          <w:p>
            <w:pPr>
              <w:spacing w:after="40" w:before="0" w:line="276"/>
            </w:pPr>
            <w:r>
              <w:rPr>
                <w:rFonts w:ascii="Calibri" w:cs="Calibri" w:eastAsia="Calibri" w:hAnsi="Calibri"/>
                <w:color w:val="404040"/>
                <w:sz w:val="20"/>
                <w:szCs w:val="20"/>
              </w:rPr>
              <w:t xml:space="preserve">Replace every [CUSTOMIZE] tag in the narrative and artifacts with client-specific detail from the Client Intake Packet. Verify internal consistency and plausibility. The scenario summary goes to the client for approval via Pre-Exercise Forms (02 - Contract folder), Form A.</w:t>
            </w:r>
          </w:p>
        </w:tc>
      </w:tr>
    </w:tbl>
    <w:p>
      <w:pPr>
        <w:spacing w:after="120"/>
      </w:pP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595959" w:sz="24"/>
              <w:bottom w:val="none" w:color="FFFFFF" w:sz="0"/>
              <w:right w:val="none" w:color="FFFFFF" w:sz="0"/>
            </w:tcBorders>
            <w:shd w:fill="F2F2F2" w:val="clear"/>
            <w:tcMar>
              <w:top w:type="dxa" w:w="100"/>
              <w:left w:type="dxa" w:w="160"/>
              <w:bottom w:type="dxa" w:w="100"/>
              <w:right w:type="dxa" w:w="160"/>
            </w:tcMar>
          </w:tcPr>
          <w:p>
            <w:pPr>
              <w:spacing w:after="60"/>
            </w:pPr>
            <w:r>
              <w:rPr>
                <w:rFonts w:ascii="Calibri" w:cs="Calibri" w:eastAsia="Calibri" w:hAnsi="Calibri"/>
                <w:b/>
                <w:bCs/>
                <w:color w:val="595959"/>
                <w:sz w:val="20"/>
                <w:szCs w:val="20"/>
              </w:rPr>
              <w:t xml:space="preserve">NOTE — Regulatory Reference Disclaimer</w:t>
            </w:r>
          </w:p>
          <w:p>
            <w:pPr>
              <w:spacing w:after="40" w:before="0" w:line="276"/>
            </w:pPr>
            <w:r>
              <w:rPr>
                <w:rFonts w:ascii="Calibri" w:cs="Calibri" w:eastAsia="Calibri" w:hAnsi="Calibri"/>
                <w:color w:val="404040"/>
                <w:sz w:val="20"/>
                <w:szCs w:val="20"/>
              </w:rPr>
              <w:t xml:space="preserve">Regulatory requirements, notification timelines, and compliance obligations referenced in this scenario are illustrative and based on information available at the time of scenario development (July 2026). They should not be relied upon as current legal guidance. Regulations, notification timelines, enforcement interpretations, and jurisdictional requirements change. Participants and clients should consult qualified legal counsel for current regulatory requirements applicable to their specific jurisdiction, industry, and circumstances.</w:t>
            </w:r>
          </w:p>
        </w:tc>
      </w:tr>
    </w:tbl>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Calibri" w:cs="Calibri" w:eastAsia="Calibri" w:hAnsi="Calibri"/>
        <w:color w:val="595959"/>
        <w:sz w:val="17"/>
        <w:szCs w:val="17"/>
      </w:rPr>
      <w:t xml:space="preserve">v1.0  ·  Page </w:t>
    </w:r>
    <w:r>
      <w:rPr>
        <w:rFonts w:ascii="Calibri" w:cs="Calibri" w:eastAsia="Calibri" w:hAnsi="Calibri"/>
        <w:color w:val="595959"/>
        <w:sz w:val="17"/>
        <w:szCs w:val="17"/>
      </w:rPr>
      <w:fldChar w:fldCharType="begin"/>
      <w:instrText xml:space="preserve">PAGE</w:instrText>
      <w:fldChar w:fldCharType="separate"/>
      <w:fldChar w:fldCharType="end"/>
    </w:r>
    <w:r>
      <w:rPr>
        <w:rFonts w:ascii="Calibri" w:cs="Calibri" w:eastAsia="Calibri" w:hAnsi="Calibri"/>
        <w:color w:val="595959"/>
        <w:sz w:val="17"/>
        <w:szCs w:val="17"/>
      </w:rPr>
      <w:t xml:space="preserve"> of </w:t>
    </w:r>
    <w:r>
      <w:rPr>
        <w:rFonts w:ascii="Calibri" w:cs="Calibri" w:eastAsia="Calibri" w:hAnsi="Calibri"/>
        <w:color w:val="595959"/>
        <w:sz w:val="17"/>
        <w:szCs w:val="17"/>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BFBFBF" w:sz="4" w:space="3"/>
      </w:pBdr>
    </w:pPr>
    <w:r>
      <w:rPr>
        <w:rFonts w:ascii="Calibri" w:cs="Calibri" w:eastAsia="Calibri" w:hAnsi="Calibri"/>
        <w:color w:val="595959"/>
        <w:sz w:val="17"/>
        <w:szCs w:val="17"/>
      </w:rPr>
      <w:t xml:space="preserve">Business Resilience Pulse Check   |   GS-5 — Natural Disaster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60" w:hanging="230"/>
      </w:pPr>
    </w:lvl>
  </w:abstractNum>
  <w:abstractNum w:abstractNumId="3" w15:restartNumberingAfterBreak="0">
    <w:multiLevelType w:val="hybridMultilevel"/>
    <w:lvl w:ilvl="0" w15:tentative="1">
      <w:start w:val="1"/>
      <w:numFmt w:val="decimal"/>
      <w:lvlText w:val="%1."/>
      <w:lvlJc w:val="left"/>
      <w:pPr>
        <w:ind w:left="460" w:hanging="320"/>
      </w:pPr>
    </w:lvl>
  </w:abstractNum>
  <w:abstractNum w:abstractNumId="4" w15:restartNumberingAfterBreak="0">
    <w:multiLevelType w:val="hybridMultilevel"/>
    <w:lvl w:ilvl="0" w15:tentative="1">
      <w:start w:val="1"/>
      <w:numFmt w:val="decimal"/>
      <w:lvlText w:val="%1."/>
      <w:lvlJc w:val="left"/>
      <w:pPr>
        <w:ind w:left="460" w:hanging="320"/>
      </w:pPr>
    </w:lvl>
  </w:abstractNum>
  <w:abstractNum w:abstractNumId="5" w15:restartNumberingAfterBreak="0">
    <w:multiLevelType w:val="hybridMultilevel"/>
    <w:lvl w:ilvl="0" w15:tentative="1">
      <w:start w:val="1"/>
      <w:numFmt w:val="decimal"/>
      <w:lvlText w:val="%1."/>
      <w:lvlJc w:val="left"/>
      <w:pPr>
        <w:ind w:left="460" w:hanging="320"/>
      </w:pPr>
    </w:lvl>
  </w:abstractNum>
  <w:abstractNum w:abstractNumId="6" w15:restartNumberingAfterBreak="0">
    <w:multiLevelType w:val="hybridMultilevel"/>
    <w:lvl w:ilvl="0" w15:tentative="1">
      <w:start w:val="1"/>
      <w:numFmt w:val="decimal"/>
      <w:lvlText w:val="%1."/>
      <w:lvlJc w:val="left"/>
      <w:pPr>
        <w:ind w:left="460" w:hanging="320"/>
      </w:pPr>
    </w:lvl>
  </w:abstractNum>
  <w:abstractNum w:abstractNumId="7" w15:restartNumberingAfterBreak="0">
    <w:multiLevelType w:val="hybridMultilevel"/>
    <w:lvl w:ilvl="0" w15:tentative="1">
      <w:start w:val="1"/>
      <w:numFmt w:val="decimal"/>
      <w:lvlText w:val="%1."/>
      <w:lvlJc w:val="left"/>
      <w:pPr>
        <w:ind w:left="460" w:hanging="320"/>
      </w:pPr>
    </w:lvl>
  </w:abstractNum>
  <w:abstractNum w:abstractNumId="8" w15:restartNumberingAfterBreak="0">
    <w:multiLevelType w:val="hybridMultilevel"/>
    <w:lvl w:ilvl="0" w15:tentative="1">
      <w:start w:val="1"/>
      <w:numFmt w:val="decimal"/>
      <w:lvlText w:val="%1."/>
      <w:lvlJc w:val="left"/>
      <w:pPr>
        <w:ind w:left="460" w:hanging="320"/>
      </w:pPr>
    </w:lvl>
  </w:abstractNum>
  <w:abstractNum w:abstractNumId="9" w15:restartNumberingAfterBreak="0">
    <w:multiLevelType w:val="hybridMultilevel"/>
    <w:lvl w:ilvl="0" w15:tentative="1">
      <w:start w:val="1"/>
      <w:numFmt w:val="decimal"/>
      <w:lvlText w:val="%1."/>
      <w:lvlJc w:val="left"/>
      <w:pPr>
        <w:ind w:left="460" w:hanging="320"/>
      </w:pPr>
    </w:lvl>
  </w:abstractNum>
  <w:abstractNum w:abstractNumId="10" w15:restartNumberingAfterBreak="0">
    <w:multiLevelType w:val="hybridMultilevel"/>
    <w:lvl w:ilvl="0" w15:tentative="1">
      <w:start w:val="1"/>
      <w:numFmt w:val="decimal"/>
      <w:lvlText w:val="%1."/>
      <w:lvlJc w:val="left"/>
      <w:pPr>
        <w:ind w:left="460" w:hanging="32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404040"/>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outlineLvl w:val="0"/>
    </w:pPr>
    <w:rPr>
      <w:rFonts w:ascii="Calibri" w:cs="Calibri" w:eastAsia="Calibri" w:hAnsi="Calibri"/>
      <w:b/>
      <w:bCs/>
      <w:color w:val="1F3864"/>
      <w:sz w:val="30"/>
      <w:szCs w:val="30"/>
    </w:rPr>
  </w:style>
  <w:style w:type="paragraph" w:styleId="Heading2">
    <w:name w:val="Heading 2"/>
    <w:basedOn w:val="Normal"/>
    <w:next w:val="Normal"/>
    <w:qFormat/>
    <w:pPr>
      <w:outlineLvl w:val="1"/>
    </w:pPr>
    <w:rPr>
      <w:rFonts w:ascii="Calibri" w:cs="Calibri" w:eastAsia="Calibri" w:hAnsi="Calibri"/>
      <w:b/>
      <w:bCs/>
      <w:color w:val="2E74B5"/>
      <w:sz w:val="25"/>
      <w:szCs w:val="25"/>
    </w:rPr>
  </w:style>
  <w:style w:type="paragraph" w:styleId="Heading3">
    <w:name w:val="Heading 3"/>
    <w:basedOn w:val="Normal"/>
    <w:next w:val="Normal"/>
    <w:qFormat/>
    <w:pPr>
      <w:outlineLvl w:val="2"/>
    </w:pPr>
    <w:rPr>
      <w:rFonts w:ascii="Calibri" w:cs="Calibri" w:eastAsia="Calibri" w:hAnsi="Calibri"/>
      <w:b/>
      <w:bCs/>
      <w:color w:val="1F3864"/>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2026-07-14T20:00:19.745Z</dcterms:created>
  <dcterms:modified xsi:type="dcterms:W3CDTF">2026-07-14T20:00:19.745Z</dcterms:modified>
</cp:coreProperties>
</file>

<file path=docProps/custom.xml><?xml version="1.0" encoding="utf-8"?>
<Properties xmlns="http://schemas.openxmlformats.org/officeDocument/2006/custom-properties" xmlns:vt="http://schemas.openxmlformats.org/officeDocument/2006/docPropsVTypes"/>
</file>